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B7" w:rsidRDefault="000651B7" w:rsidP="000651B7">
      <w:pPr>
        <w:snapToGrid w:val="0"/>
        <w:spacing w:line="240" w:lineRule="atLeast"/>
        <w:ind w:left="1160" w:hangingChars="414" w:hanging="116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國立台灣科技大學管理研究所</w:t>
      </w:r>
    </w:p>
    <w:p w:rsidR="000651B7" w:rsidRDefault="000651B7" w:rsidP="000651B7">
      <w:pPr>
        <w:snapToGrid w:val="0"/>
        <w:spacing w:line="240" w:lineRule="atLeast"/>
        <w:ind w:left="1160" w:hangingChars="414" w:hanging="116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EMBA</w:t>
      </w:r>
      <w:r w:rsidR="00400D9A">
        <w:rPr>
          <w:rFonts w:hint="eastAsia"/>
          <w:b/>
          <w:bCs/>
          <w:sz w:val="28"/>
        </w:rPr>
        <w:t>在職專班學生修業規定</w:t>
      </w:r>
    </w:p>
    <w:p w:rsidR="00400D9A" w:rsidRDefault="00400D9A" w:rsidP="000651B7">
      <w:pPr>
        <w:snapToGrid w:val="0"/>
        <w:spacing w:line="240" w:lineRule="atLeast"/>
        <w:ind w:left="745" w:hangingChars="414" w:hanging="745"/>
        <w:jc w:val="right"/>
        <w:rPr>
          <w:rFonts w:ascii="Arial" w:eastAsia="標楷體" w:hAnsi="Arial" w:cs="Arial"/>
          <w:sz w:val="18"/>
        </w:rPr>
      </w:pPr>
    </w:p>
    <w:p w:rsidR="000651B7" w:rsidRPr="00877543" w:rsidRDefault="00877543" w:rsidP="000651B7">
      <w:pPr>
        <w:snapToGrid w:val="0"/>
        <w:spacing w:line="240" w:lineRule="atLeast"/>
        <w:ind w:left="745" w:hangingChars="414" w:hanging="745"/>
        <w:jc w:val="right"/>
        <w:rPr>
          <w:rFonts w:eastAsia="標楷體"/>
          <w:sz w:val="18"/>
          <w:szCs w:val="18"/>
        </w:rPr>
      </w:pPr>
      <w:r w:rsidRPr="00877543">
        <w:rPr>
          <w:rFonts w:eastAsia="標楷體"/>
          <w:sz w:val="18"/>
          <w:szCs w:val="18"/>
        </w:rPr>
        <w:t>10</w:t>
      </w:r>
      <w:r w:rsidR="00595989">
        <w:rPr>
          <w:rFonts w:eastAsia="標楷體"/>
          <w:sz w:val="18"/>
          <w:szCs w:val="18"/>
        </w:rPr>
        <w:t>7</w:t>
      </w:r>
      <w:r w:rsidRPr="00877543">
        <w:rPr>
          <w:rFonts w:eastAsia="標楷體" w:hAnsi="Arial"/>
          <w:sz w:val="18"/>
          <w:szCs w:val="18"/>
        </w:rPr>
        <w:t>年</w:t>
      </w:r>
      <w:r w:rsidR="00595989">
        <w:rPr>
          <w:rFonts w:eastAsia="標楷體"/>
          <w:sz w:val="18"/>
          <w:szCs w:val="18"/>
        </w:rPr>
        <w:t>11</w:t>
      </w:r>
      <w:r w:rsidRPr="00877543">
        <w:rPr>
          <w:rFonts w:eastAsia="標楷體" w:hAnsi="Arial"/>
          <w:sz w:val="18"/>
          <w:szCs w:val="18"/>
        </w:rPr>
        <w:t>月</w:t>
      </w:r>
      <w:r w:rsidR="00595989">
        <w:rPr>
          <w:rFonts w:eastAsia="標楷體"/>
          <w:sz w:val="18"/>
          <w:szCs w:val="18"/>
        </w:rPr>
        <w:t>20</w:t>
      </w:r>
      <w:r w:rsidRPr="00877543">
        <w:rPr>
          <w:rFonts w:eastAsia="標楷體" w:hAnsi="Arial"/>
          <w:sz w:val="18"/>
          <w:szCs w:val="18"/>
        </w:rPr>
        <w:t>日</w:t>
      </w:r>
      <w:r w:rsidR="00595989">
        <w:rPr>
          <w:rFonts w:eastAsia="標楷體"/>
          <w:sz w:val="18"/>
          <w:szCs w:val="18"/>
        </w:rPr>
        <w:t>107</w:t>
      </w:r>
      <w:r w:rsidRPr="00877543">
        <w:rPr>
          <w:rFonts w:eastAsia="標楷體" w:hAnsi="Arial"/>
          <w:sz w:val="18"/>
          <w:szCs w:val="18"/>
        </w:rPr>
        <w:t>學年度第</w:t>
      </w:r>
      <w:r w:rsidR="00595989">
        <w:rPr>
          <w:rFonts w:eastAsia="標楷體" w:hAnsi="Arial" w:hint="eastAsia"/>
          <w:sz w:val="18"/>
          <w:szCs w:val="18"/>
        </w:rPr>
        <w:t>二</w:t>
      </w:r>
      <w:r w:rsidRPr="00877543">
        <w:rPr>
          <w:rFonts w:eastAsia="標楷體" w:hAnsi="Arial"/>
          <w:sz w:val="18"/>
          <w:szCs w:val="18"/>
        </w:rPr>
        <w:t>次所務會議修訂通過</w:t>
      </w:r>
      <w:r w:rsidRPr="00877543">
        <w:rPr>
          <w:rFonts w:eastAsia="標楷體"/>
          <w:sz w:val="18"/>
          <w:szCs w:val="18"/>
        </w:rPr>
        <w:t>(</w:t>
      </w:r>
      <w:r w:rsidRPr="00877543">
        <w:rPr>
          <w:rFonts w:eastAsia="標楷體" w:hAnsi="Arial"/>
          <w:sz w:val="18"/>
          <w:szCs w:val="18"/>
        </w:rPr>
        <w:t>節錄</w:t>
      </w:r>
      <w:r w:rsidRPr="00877543">
        <w:rPr>
          <w:rFonts w:eastAsia="標楷體"/>
          <w:sz w:val="18"/>
          <w:szCs w:val="18"/>
        </w:rPr>
        <w:t>)</w:t>
      </w:r>
    </w:p>
    <w:p w:rsidR="000651B7" w:rsidRPr="00F30B6C" w:rsidRDefault="000651B7" w:rsidP="00587E36">
      <w:pPr>
        <w:snapToGrid w:val="0"/>
        <w:spacing w:beforeLines="50" w:before="180" w:line="240" w:lineRule="atLeast"/>
        <w:ind w:left="1160" w:hangingChars="414" w:hanging="1160"/>
        <w:rPr>
          <w:rFonts w:ascii="標楷體" w:eastAsia="標楷體" w:hAnsi="標楷體"/>
          <w:b/>
          <w:bCs/>
          <w:sz w:val="28"/>
        </w:rPr>
      </w:pPr>
      <w:r w:rsidRPr="00F30B6C">
        <w:rPr>
          <w:rFonts w:ascii="標楷體" w:eastAsia="標楷體" w:hAnsi="標楷體" w:hint="eastAsia"/>
          <w:b/>
          <w:bCs/>
          <w:sz w:val="28"/>
        </w:rPr>
        <w:t xml:space="preserve"> (一)高階管理與企業負責人組</w:t>
      </w:r>
    </w:p>
    <w:p w:rsidR="000651B7" w:rsidRPr="00F30B6C" w:rsidRDefault="000651B7" w:rsidP="000651B7">
      <w:p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</w:rPr>
        <w:t>第一條</w:t>
      </w:r>
      <w:r w:rsidRPr="00F30B6C">
        <w:rPr>
          <w:rFonts w:ascii="Arial" w:eastAsia="標楷體" w:hAnsi="Arial" w:cs="Arial"/>
        </w:rPr>
        <w:tab/>
      </w:r>
      <w:r w:rsidRPr="00F30B6C">
        <w:rPr>
          <w:rFonts w:ascii="Arial" w:eastAsia="標楷體" w:hAnsi="Arial" w:cs="Arial"/>
        </w:rPr>
        <w:t>專業選修科</w:t>
      </w:r>
      <w:r w:rsidR="00687B9D">
        <w:rPr>
          <w:rFonts w:ascii="Arial" w:eastAsia="標楷體" w:hAnsi="Arial" w:cs="Arial" w:hint="eastAsia"/>
        </w:rPr>
        <w:t>目</w:t>
      </w:r>
      <w:r w:rsidRPr="00F30B6C">
        <w:rPr>
          <w:rFonts w:ascii="Arial" w:eastAsia="標楷體" w:hAnsi="Arial" w:cs="Arial"/>
        </w:rPr>
        <w:t>：</w:t>
      </w:r>
    </w:p>
    <w:p w:rsidR="000651B7" w:rsidRDefault="000651B7" w:rsidP="000651B7">
      <w:pPr>
        <w:spacing w:line="240" w:lineRule="atLeast"/>
        <w:ind w:left="900" w:firstLine="60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</w:rPr>
        <w:t>EMBA</w:t>
      </w:r>
      <w:r w:rsidRPr="00F30B6C">
        <w:rPr>
          <w:rFonts w:ascii="Arial" w:eastAsia="標楷體" w:hAnsi="Arial" w:cs="Arial"/>
        </w:rPr>
        <w:t>在職專班之專業選修課程如下，學生至少需修習其中三科以上：</w:t>
      </w:r>
    </w:p>
    <w:p w:rsidR="00900468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財務決策分析</w:t>
      </w:r>
    </w:p>
    <w:p w:rsidR="00900468" w:rsidRPr="00900468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  <w:szCs w:val="24"/>
        </w:rPr>
        <w:t>企業經營與公司治理實務</w:t>
      </w:r>
    </w:p>
    <w:p w:rsidR="00900468" w:rsidRPr="000B2DF7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0B2DF7">
        <w:rPr>
          <w:rFonts w:ascii="Arial" w:eastAsia="標楷體" w:hAnsi="Arial" w:cs="Arial" w:hint="eastAsia"/>
        </w:rPr>
        <w:t>競爭優勢與</w:t>
      </w:r>
      <w:r w:rsidR="003A043F" w:rsidRPr="000B2DF7">
        <w:rPr>
          <w:rFonts w:ascii="Arial" w:eastAsia="標楷體" w:hAnsi="Arial" w:cs="Arial" w:hint="eastAsia"/>
        </w:rPr>
        <w:t>創新策略</w:t>
      </w:r>
    </w:p>
    <w:p w:rsidR="00900468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商務談判</w:t>
      </w:r>
    </w:p>
    <w:p w:rsidR="00900468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創新企業經營模式</w:t>
      </w:r>
    </w:p>
    <w:p w:rsidR="00900468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動態經營與危機管理</w:t>
      </w:r>
    </w:p>
    <w:p w:rsidR="00900468" w:rsidRPr="00F30B6C" w:rsidRDefault="00900468" w:rsidP="00900468">
      <w:pPr>
        <w:numPr>
          <w:ilvl w:val="0"/>
          <w:numId w:val="6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</w:rPr>
        <w:t>創業與投資管理</w:t>
      </w:r>
    </w:p>
    <w:p w:rsidR="000651B7" w:rsidRPr="00F30B6C" w:rsidRDefault="000651B7" w:rsidP="00587E36">
      <w:pPr>
        <w:spacing w:beforeLines="50" w:before="180" w:line="240" w:lineRule="atLeast"/>
        <w:ind w:left="900" w:hangingChars="375" w:hanging="900"/>
        <w:rPr>
          <w:rFonts w:eastAsia="標楷體"/>
        </w:rPr>
      </w:pPr>
      <w:r w:rsidRPr="00F30B6C">
        <w:rPr>
          <w:rFonts w:eastAsia="標楷體" w:hint="eastAsia"/>
        </w:rPr>
        <w:t>第二條</w:t>
      </w:r>
      <w:r w:rsidRPr="00F30B6C">
        <w:rPr>
          <w:rFonts w:eastAsia="標楷體" w:hint="eastAsia"/>
        </w:rPr>
        <w:tab/>
      </w:r>
      <w:r w:rsidRPr="00F30B6C">
        <w:rPr>
          <w:rFonts w:eastAsia="標楷體"/>
        </w:rPr>
        <w:t>研究生應於入學後</w:t>
      </w:r>
      <w:r w:rsidRPr="00F30B6C">
        <w:rPr>
          <w:rFonts w:eastAsia="標楷體" w:hint="eastAsia"/>
        </w:rPr>
        <w:t>一</w:t>
      </w:r>
      <w:r w:rsidRPr="00F30B6C">
        <w:rPr>
          <w:rFonts w:eastAsia="標楷體"/>
        </w:rPr>
        <w:t>年內商請本院專任助理教授以上教師擔任論文指導教授，並繳交「論文指導同意書」</w:t>
      </w:r>
      <w:r w:rsidRPr="00F30B6C">
        <w:rPr>
          <w:rFonts w:eastAsia="標楷體" w:hint="eastAsia"/>
        </w:rPr>
        <w:t>；如商請兩位以上教師擔任論文指導教授，其中一位須為本院專任教師。</w:t>
      </w:r>
    </w:p>
    <w:p w:rsidR="000651B7" w:rsidRPr="00F30B6C" w:rsidRDefault="000651B7" w:rsidP="00587E36">
      <w:pPr>
        <w:spacing w:beforeLines="50" w:before="180" w:line="240" w:lineRule="atLeast"/>
        <w:rPr>
          <w:rFonts w:eastAsia="標楷體"/>
        </w:rPr>
      </w:pPr>
      <w:r w:rsidRPr="00F30B6C">
        <w:rPr>
          <w:rFonts w:eastAsia="標楷體"/>
        </w:rPr>
        <w:t>第</w:t>
      </w:r>
      <w:r w:rsidRPr="00F30B6C">
        <w:rPr>
          <w:rFonts w:eastAsia="標楷體" w:hint="eastAsia"/>
        </w:rPr>
        <w:t>三</w:t>
      </w:r>
      <w:r w:rsidRPr="00F30B6C">
        <w:rPr>
          <w:rFonts w:eastAsia="標楷體"/>
        </w:rPr>
        <w:t>條</w:t>
      </w:r>
      <w:r w:rsidRPr="00F30B6C">
        <w:rPr>
          <w:rFonts w:eastAsia="標楷體"/>
        </w:rPr>
        <w:tab/>
      </w:r>
      <w:r w:rsidRPr="00F30B6C">
        <w:rPr>
          <w:rFonts w:eastAsia="標楷體"/>
        </w:rPr>
        <w:t>其餘規定依「</w:t>
      </w:r>
      <w:r w:rsidRPr="00F30B6C">
        <w:rPr>
          <w:rFonts w:eastAsia="標楷體"/>
        </w:rPr>
        <w:t>EMBA</w:t>
      </w:r>
      <w:r w:rsidRPr="00F30B6C">
        <w:rPr>
          <w:rFonts w:eastAsia="標楷體"/>
        </w:rPr>
        <w:t>在職專班共同修業規定」辦理。</w:t>
      </w:r>
    </w:p>
    <w:p w:rsidR="000651B7" w:rsidRPr="00F30B6C" w:rsidRDefault="000651B7" w:rsidP="00587E36">
      <w:pPr>
        <w:snapToGrid w:val="0"/>
        <w:spacing w:beforeLines="100" w:before="360" w:afterLines="50" w:after="180" w:line="240" w:lineRule="atLeast"/>
        <w:ind w:left="1160" w:hangingChars="414" w:hanging="1160"/>
        <w:rPr>
          <w:rFonts w:ascii="標楷體" w:eastAsia="標楷體" w:hAnsi="標楷體"/>
          <w:b/>
          <w:bCs/>
          <w:sz w:val="28"/>
        </w:rPr>
      </w:pPr>
      <w:r w:rsidRPr="00F30B6C">
        <w:rPr>
          <w:rFonts w:ascii="標楷體" w:eastAsia="標楷體" w:hAnsi="標楷體" w:hint="eastAsia"/>
          <w:b/>
          <w:bCs/>
          <w:sz w:val="28"/>
        </w:rPr>
        <w:t>(二)科技與服務管理組</w:t>
      </w:r>
    </w:p>
    <w:p w:rsidR="000651B7" w:rsidRPr="00F30B6C" w:rsidRDefault="000651B7" w:rsidP="000651B7">
      <w:p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</w:rPr>
        <w:t>第一條</w:t>
      </w:r>
      <w:r w:rsidRPr="00F30B6C">
        <w:rPr>
          <w:rFonts w:ascii="Arial" w:eastAsia="標楷體" w:hAnsi="Arial" w:cs="Arial"/>
        </w:rPr>
        <w:tab/>
      </w:r>
      <w:r w:rsidRPr="00F30B6C">
        <w:rPr>
          <w:rFonts w:ascii="Arial" w:eastAsia="標楷體" w:hAnsi="Arial" w:cs="Arial"/>
        </w:rPr>
        <w:t>專業選修科</w:t>
      </w:r>
      <w:r w:rsidR="00687B9D">
        <w:rPr>
          <w:rFonts w:ascii="Arial" w:eastAsia="標楷體" w:hAnsi="Arial" w:cs="Arial" w:hint="eastAsia"/>
        </w:rPr>
        <w:t>目</w:t>
      </w:r>
      <w:r w:rsidRPr="00F30B6C">
        <w:rPr>
          <w:rFonts w:ascii="Arial" w:eastAsia="標楷體" w:hAnsi="Arial" w:cs="Arial"/>
        </w:rPr>
        <w:t>：</w:t>
      </w:r>
    </w:p>
    <w:p w:rsidR="000651B7" w:rsidRDefault="000651B7" w:rsidP="000651B7">
      <w:pPr>
        <w:spacing w:line="240" w:lineRule="atLeast"/>
        <w:ind w:left="900" w:firstLine="60"/>
        <w:rPr>
          <w:rFonts w:ascii="Arial" w:eastAsia="標楷體" w:hAnsi="Arial" w:cs="Arial"/>
        </w:rPr>
      </w:pPr>
      <w:r w:rsidRPr="00F30B6C">
        <w:rPr>
          <w:rFonts w:ascii="Arial" w:eastAsia="標楷體" w:hAnsi="Arial" w:cs="Arial"/>
        </w:rPr>
        <w:t>EMBA</w:t>
      </w:r>
      <w:r w:rsidRPr="00F30B6C">
        <w:rPr>
          <w:rFonts w:ascii="Arial" w:eastAsia="標楷體" w:hAnsi="Arial" w:cs="Arial"/>
        </w:rPr>
        <w:t>在職專班之專業選修課程如下，學生至少需修習其中三科以上：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高科技產業策略與分析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科技與創新管理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電子商務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科技化服務創新應用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服務科學與管理</w:t>
      </w:r>
    </w:p>
    <w:p w:rsidR="00900468" w:rsidRDefault="00900468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 w:rsidRPr="00F30B6C">
        <w:rPr>
          <w:rFonts w:ascii="Arial" w:eastAsia="標楷體" w:hAnsi="Arial" w:cs="Arial" w:hint="eastAsia"/>
        </w:rPr>
        <w:t>創意管理</w:t>
      </w:r>
    </w:p>
    <w:p w:rsidR="00900468" w:rsidRPr="000B2DF7" w:rsidRDefault="00595989" w:rsidP="00900468">
      <w:pPr>
        <w:numPr>
          <w:ilvl w:val="0"/>
          <w:numId w:val="7"/>
        </w:numPr>
        <w:spacing w:line="2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設計</w:t>
      </w:r>
      <w:r>
        <w:rPr>
          <w:rFonts w:ascii="Arial" w:eastAsia="標楷體" w:hAnsi="Arial" w:cs="Arial"/>
        </w:rPr>
        <w:t>思考</w:t>
      </w:r>
      <w:bookmarkStart w:id="0" w:name="_GoBack"/>
      <w:bookmarkEnd w:id="0"/>
    </w:p>
    <w:p w:rsidR="000651B7" w:rsidRPr="00F30B6C" w:rsidRDefault="000651B7" w:rsidP="00587E36">
      <w:pPr>
        <w:spacing w:beforeLines="50" w:before="180" w:line="240" w:lineRule="atLeast"/>
        <w:ind w:left="900" w:hangingChars="375" w:hanging="900"/>
        <w:rPr>
          <w:rFonts w:eastAsia="標楷體"/>
        </w:rPr>
      </w:pPr>
      <w:r w:rsidRPr="00F30B6C">
        <w:rPr>
          <w:rFonts w:eastAsia="標楷體" w:hint="eastAsia"/>
        </w:rPr>
        <w:t>第二條</w:t>
      </w:r>
      <w:r w:rsidRPr="00F30B6C">
        <w:rPr>
          <w:rFonts w:eastAsia="標楷體" w:hint="eastAsia"/>
        </w:rPr>
        <w:tab/>
      </w:r>
      <w:r w:rsidRPr="00F30B6C">
        <w:rPr>
          <w:rFonts w:eastAsia="標楷體"/>
        </w:rPr>
        <w:t>研究生應於入學後</w:t>
      </w:r>
      <w:r w:rsidRPr="00F30B6C">
        <w:rPr>
          <w:rFonts w:eastAsia="標楷體" w:hint="eastAsia"/>
        </w:rPr>
        <w:t>一</w:t>
      </w:r>
      <w:r w:rsidRPr="00F30B6C">
        <w:rPr>
          <w:rFonts w:eastAsia="標楷體"/>
        </w:rPr>
        <w:t>年內商請本院專任助理教授以上教師擔任論文指導教授，並繳交「論文指導同意書」</w:t>
      </w:r>
      <w:r w:rsidRPr="00F30B6C">
        <w:rPr>
          <w:rFonts w:eastAsia="標楷體" w:hint="eastAsia"/>
        </w:rPr>
        <w:t>；如商請兩位以上教師擔任論文指導教授，其中一位須為本院專任教師。</w:t>
      </w:r>
    </w:p>
    <w:p w:rsidR="005E61AF" w:rsidRPr="00F30B6C" w:rsidRDefault="000651B7" w:rsidP="009F3552">
      <w:pPr>
        <w:spacing w:beforeLines="50" w:before="180" w:line="240" w:lineRule="atLeast"/>
      </w:pPr>
      <w:r w:rsidRPr="00F30B6C">
        <w:rPr>
          <w:rFonts w:eastAsia="標楷體"/>
        </w:rPr>
        <w:t>第</w:t>
      </w:r>
      <w:r w:rsidRPr="00F30B6C">
        <w:rPr>
          <w:rFonts w:eastAsia="標楷體" w:hint="eastAsia"/>
        </w:rPr>
        <w:t>三</w:t>
      </w:r>
      <w:r w:rsidRPr="00F30B6C">
        <w:rPr>
          <w:rFonts w:eastAsia="標楷體"/>
        </w:rPr>
        <w:t>條</w:t>
      </w:r>
      <w:r w:rsidRPr="00F30B6C">
        <w:rPr>
          <w:rFonts w:eastAsia="標楷體"/>
        </w:rPr>
        <w:tab/>
      </w:r>
      <w:r w:rsidRPr="00F30B6C">
        <w:rPr>
          <w:rFonts w:eastAsia="標楷體"/>
        </w:rPr>
        <w:t>其餘規定依「</w:t>
      </w:r>
      <w:r w:rsidRPr="00F30B6C">
        <w:rPr>
          <w:rFonts w:eastAsia="標楷體"/>
        </w:rPr>
        <w:t>EMBA</w:t>
      </w:r>
      <w:r w:rsidRPr="00F30B6C">
        <w:rPr>
          <w:rFonts w:eastAsia="標楷體"/>
        </w:rPr>
        <w:t>在職專班共同修業規定」辦理。</w:t>
      </w:r>
    </w:p>
    <w:sectPr w:rsidR="005E61AF" w:rsidRPr="00F30B6C" w:rsidSect="00CA7F2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70" w:rsidRDefault="00532E70" w:rsidP="000B2DF7">
      <w:pPr>
        <w:spacing w:line="240" w:lineRule="auto"/>
      </w:pPr>
      <w:r>
        <w:separator/>
      </w:r>
    </w:p>
  </w:endnote>
  <w:endnote w:type="continuationSeparator" w:id="0">
    <w:p w:rsidR="00532E70" w:rsidRDefault="00532E70" w:rsidP="000B2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70" w:rsidRDefault="00532E70" w:rsidP="000B2DF7">
      <w:pPr>
        <w:spacing w:line="240" w:lineRule="auto"/>
      </w:pPr>
      <w:r>
        <w:separator/>
      </w:r>
    </w:p>
  </w:footnote>
  <w:footnote w:type="continuationSeparator" w:id="0">
    <w:p w:rsidR="00532E70" w:rsidRDefault="00532E70" w:rsidP="000B2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AFF"/>
    <w:multiLevelType w:val="hybridMultilevel"/>
    <w:tmpl w:val="0128A6AA"/>
    <w:lvl w:ilvl="0" w:tplc="16AE8976">
      <w:start w:val="6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3"/>
        </w:tabs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3"/>
        </w:tabs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3"/>
        </w:tabs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3"/>
        </w:tabs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3"/>
        </w:tabs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3"/>
        </w:tabs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3"/>
        </w:tabs>
        <w:ind w:left="5453" w:hanging="480"/>
      </w:pPr>
      <w:rPr>
        <w:rFonts w:ascii="Wingdings" w:hAnsi="Wingdings" w:hint="default"/>
      </w:rPr>
    </w:lvl>
  </w:abstractNum>
  <w:abstractNum w:abstractNumId="1" w15:restartNumberingAfterBreak="0">
    <w:nsid w:val="09F071D6"/>
    <w:multiLevelType w:val="hybridMultilevel"/>
    <w:tmpl w:val="6A56E79C"/>
    <w:lvl w:ilvl="0" w:tplc="6FAA3ACE"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2" w15:restartNumberingAfterBreak="0">
    <w:nsid w:val="3B711B7A"/>
    <w:multiLevelType w:val="hybridMultilevel"/>
    <w:tmpl w:val="F13AD00E"/>
    <w:lvl w:ilvl="0" w:tplc="FB5A3C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59B11264"/>
    <w:multiLevelType w:val="hybridMultilevel"/>
    <w:tmpl w:val="C5B2EBBE"/>
    <w:lvl w:ilvl="0" w:tplc="B9E2BF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6C9C7ACA"/>
    <w:multiLevelType w:val="hybridMultilevel"/>
    <w:tmpl w:val="2C0AD2DC"/>
    <w:lvl w:ilvl="0" w:tplc="0896C3D4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71FE75E0"/>
    <w:multiLevelType w:val="hybridMultilevel"/>
    <w:tmpl w:val="F8A80E94"/>
    <w:lvl w:ilvl="0" w:tplc="3210E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24485C"/>
    <w:multiLevelType w:val="hybridMultilevel"/>
    <w:tmpl w:val="31029940"/>
    <w:lvl w:ilvl="0" w:tplc="7F123706">
      <w:start w:val="1"/>
      <w:numFmt w:val="decimalFullWidth"/>
      <w:lvlText w:val="%1．"/>
      <w:lvlJc w:val="left"/>
      <w:pPr>
        <w:tabs>
          <w:tab w:val="num" w:pos="1379"/>
        </w:tabs>
        <w:ind w:left="13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9"/>
        </w:tabs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781"/>
    <w:rsid w:val="000006A8"/>
    <w:rsid w:val="0000160F"/>
    <w:rsid w:val="000279F4"/>
    <w:rsid w:val="000546C6"/>
    <w:rsid w:val="000651B7"/>
    <w:rsid w:val="00066A27"/>
    <w:rsid w:val="0008104D"/>
    <w:rsid w:val="000B2DF7"/>
    <w:rsid w:val="000B4FD5"/>
    <w:rsid w:val="000E0176"/>
    <w:rsid w:val="000E10CF"/>
    <w:rsid w:val="000F4F36"/>
    <w:rsid w:val="001057F4"/>
    <w:rsid w:val="00111B50"/>
    <w:rsid w:val="00114860"/>
    <w:rsid w:val="00122812"/>
    <w:rsid w:val="00134DB6"/>
    <w:rsid w:val="00152C76"/>
    <w:rsid w:val="00175801"/>
    <w:rsid w:val="00175D1A"/>
    <w:rsid w:val="00183FAB"/>
    <w:rsid w:val="001A3D10"/>
    <w:rsid w:val="001B4920"/>
    <w:rsid w:val="001B5208"/>
    <w:rsid w:val="001D58A7"/>
    <w:rsid w:val="001F5E1F"/>
    <w:rsid w:val="001F62C8"/>
    <w:rsid w:val="00200381"/>
    <w:rsid w:val="002247B4"/>
    <w:rsid w:val="00227A5A"/>
    <w:rsid w:val="00230725"/>
    <w:rsid w:val="00231960"/>
    <w:rsid w:val="0023275B"/>
    <w:rsid w:val="00236C5E"/>
    <w:rsid w:val="00236DDA"/>
    <w:rsid w:val="00242172"/>
    <w:rsid w:val="00247AD2"/>
    <w:rsid w:val="00252176"/>
    <w:rsid w:val="00272375"/>
    <w:rsid w:val="002A67EA"/>
    <w:rsid w:val="002B309C"/>
    <w:rsid w:val="002E15B6"/>
    <w:rsid w:val="002E448C"/>
    <w:rsid w:val="002F4D50"/>
    <w:rsid w:val="00314BC3"/>
    <w:rsid w:val="00316CCB"/>
    <w:rsid w:val="00317DCE"/>
    <w:rsid w:val="0032041B"/>
    <w:rsid w:val="0033173E"/>
    <w:rsid w:val="00340A4B"/>
    <w:rsid w:val="00373092"/>
    <w:rsid w:val="00384EFC"/>
    <w:rsid w:val="00395732"/>
    <w:rsid w:val="003A043F"/>
    <w:rsid w:val="003B0123"/>
    <w:rsid w:val="003C242F"/>
    <w:rsid w:val="003D6781"/>
    <w:rsid w:val="00400D9A"/>
    <w:rsid w:val="004210BA"/>
    <w:rsid w:val="004217DD"/>
    <w:rsid w:val="00435F1A"/>
    <w:rsid w:val="0045608A"/>
    <w:rsid w:val="00457185"/>
    <w:rsid w:val="00465675"/>
    <w:rsid w:val="004828D4"/>
    <w:rsid w:val="004904F2"/>
    <w:rsid w:val="004B4096"/>
    <w:rsid w:val="004C04C5"/>
    <w:rsid w:val="004C4EE1"/>
    <w:rsid w:val="004D233E"/>
    <w:rsid w:val="004D73FD"/>
    <w:rsid w:val="005113BC"/>
    <w:rsid w:val="00516B04"/>
    <w:rsid w:val="005222D0"/>
    <w:rsid w:val="00532E70"/>
    <w:rsid w:val="0054268E"/>
    <w:rsid w:val="005477D6"/>
    <w:rsid w:val="005603FD"/>
    <w:rsid w:val="005642B5"/>
    <w:rsid w:val="00576CC5"/>
    <w:rsid w:val="00586EE3"/>
    <w:rsid w:val="00587CF0"/>
    <w:rsid w:val="00587E36"/>
    <w:rsid w:val="00593E0B"/>
    <w:rsid w:val="00595989"/>
    <w:rsid w:val="005A2B35"/>
    <w:rsid w:val="005A57D9"/>
    <w:rsid w:val="005A7F48"/>
    <w:rsid w:val="005B2EF7"/>
    <w:rsid w:val="005B3F34"/>
    <w:rsid w:val="005D07B9"/>
    <w:rsid w:val="005D4B4C"/>
    <w:rsid w:val="005E61AF"/>
    <w:rsid w:val="00603082"/>
    <w:rsid w:val="006040F8"/>
    <w:rsid w:val="00605468"/>
    <w:rsid w:val="00617F4F"/>
    <w:rsid w:val="0063068D"/>
    <w:rsid w:val="0064482E"/>
    <w:rsid w:val="006552C1"/>
    <w:rsid w:val="00660363"/>
    <w:rsid w:val="00663A5C"/>
    <w:rsid w:val="00664916"/>
    <w:rsid w:val="00672970"/>
    <w:rsid w:val="00676AEB"/>
    <w:rsid w:val="00687B9D"/>
    <w:rsid w:val="00693C76"/>
    <w:rsid w:val="00693FCB"/>
    <w:rsid w:val="006A071A"/>
    <w:rsid w:val="006A515E"/>
    <w:rsid w:val="006C2009"/>
    <w:rsid w:val="006C2F03"/>
    <w:rsid w:val="006C5EF3"/>
    <w:rsid w:val="006C677C"/>
    <w:rsid w:val="006D1D52"/>
    <w:rsid w:val="006E01AF"/>
    <w:rsid w:val="007307AB"/>
    <w:rsid w:val="00731811"/>
    <w:rsid w:val="007463D6"/>
    <w:rsid w:val="00770E1E"/>
    <w:rsid w:val="00773873"/>
    <w:rsid w:val="00775330"/>
    <w:rsid w:val="007804D3"/>
    <w:rsid w:val="00784BB9"/>
    <w:rsid w:val="007B4333"/>
    <w:rsid w:val="007B7E9B"/>
    <w:rsid w:val="007D2DD5"/>
    <w:rsid w:val="007E1F24"/>
    <w:rsid w:val="0080346B"/>
    <w:rsid w:val="00804700"/>
    <w:rsid w:val="00812AF4"/>
    <w:rsid w:val="00823842"/>
    <w:rsid w:val="00832D60"/>
    <w:rsid w:val="008424DD"/>
    <w:rsid w:val="0084410F"/>
    <w:rsid w:val="00845E4A"/>
    <w:rsid w:val="00866C1B"/>
    <w:rsid w:val="00875139"/>
    <w:rsid w:val="00877543"/>
    <w:rsid w:val="008A3600"/>
    <w:rsid w:val="008A5E8D"/>
    <w:rsid w:val="008D563D"/>
    <w:rsid w:val="008E1823"/>
    <w:rsid w:val="008F54EE"/>
    <w:rsid w:val="00900468"/>
    <w:rsid w:val="00922D9F"/>
    <w:rsid w:val="0092354B"/>
    <w:rsid w:val="00947340"/>
    <w:rsid w:val="00951C9A"/>
    <w:rsid w:val="00954295"/>
    <w:rsid w:val="00972747"/>
    <w:rsid w:val="0099087D"/>
    <w:rsid w:val="00996635"/>
    <w:rsid w:val="009A428C"/>
    <w:rsid w:val="009A42A1"/>
    <w:rsid w:val="009C2B5A"/>
    <w:rsid w:val="009C5DEC"/>
    <w:rsid w:val="009D6FC4"/>
    <w:rsid w:val="009D7189"/>
    <w:rsid w:val="009E5432"/>
    <w:rsid w:val="009E5B78"/>
    <w:rsid w:val="009F3552"/>
    <w:rsid w:val="00A03E58"/>
    <w:rsid w:val="00A06A65"/>
    <w:rsid w:val="00A27490"/>
    <w:rsid w:val="00A70BEC"/>
    <w:rsid w:val="00A9093D"/>
    <w:rsid w:val="00A909AA"/>
    <w:rsid w:val="00A97020"/>
    <w:rsid w:val="00AD4C43"/>
    <w:rsid w:val="00B0032C"/>
    <w:rsid w:val="00B022AD"/>
    <w:rsid w:val="00B051D5"/>
    <w:rsid w:val="00B87999"/>
    <w:rsid w:val="00BA1E78"/>
    <w:rsid w:val="00BE3BC0"/>
    <w:rsid w:val="00BF0D1C"/>
    <w:rsid w:val="00BF2941"/>
    <w:rsid w:val="00C00CE9"/>
    <w:rsid w:val="00C0342C"/>
    <w:rsid w:val="00C12FC1"/>
    <w:rsid w:val="00C16CBF"/>
    <w:rsid w:val="00C17C20"/>
    <w:rsid w:val="00C43FBD"/>
    <w:rsid w:val="00C60C31"/>
    <w:rsid w:val="00C73EA8"/>
    <w:rsid w:val="00C809DF"/>
    <w:rsid w:val="00CA7F26"/>
    <w:rsid w:val="00CB0978"/>
    <w:rsid w:val="00CF08D9"/>
    <w:rsid w:val="00CF1BFD"/>
    <w:rsid w:val="00CF27DF"/>
    <w:rsid w:val="00CF62DB"/>
    <w:rsid w:val="00D057EA"/>
    <w:rsid w:val="00D22726"/>
    <w:rsid w:val="00D22A72"/>
    <w:rsid w:val="00D352A9"/>
    <w:rsid w:val="00D55B09"/>
    <w:rsid w:val="00D57C72"/>
    <w:rsid w:val="00D73178"/>
    <w:rsid w:val="00D7372F"/>
    <w:rsid w:val="00D86C1B"/>
    <w:rsid w:val="00D87333"/>
    <w:rsid w:val="00DA6432"/>
    <w:rsid w:val="00DA66EA"/>
    <w:rsid w:val="00DA6AE1"/>
    <w:rsid w:val="00DB24AB"/>
    <w:rsid w:val="00DB3C29"/>
    <w:rsid w:val="00DB4506"/>
    <w:rsid w:val="00DB4959"/>
    <w:rsid w:val="00DC04E9"/>
    <w:rsid w:val="00DD3474"/>
    <w:rsid w:val="00DD7DF0"/>
    <w:rsid w:val="00DE1C7A"/>
    <w:rsid w:val="00DF16C1"/>
    <w:rsid w:val="00DF70FD"/>
    <w:rsid w:val="00E10BA5"/>
    <w:rsid w:val="00E336B0"/>
    <w:rsid w:val="00E502BC"/>
    <w:rsid w:val="00E50C95"/>
    <w:rsid w:val="00EA1E5B"/>
    <w:rsid w:val="00EC3290"/>
    <w:rsid w:val="00EC53EE"/>
    <w:rsid w:val="00ED46FF"/>
    <w:rsid w:val="00ED6F83"/>
    <w:rsid w:val="00F000C9"/>
    <w:rsid w:val="00F24F46"/>
    <w:rsid w:val="00F30B6C"/>
    <w:rsid w:val="00F32413"/>
    <w:rsid w:val="00F35E7E"/>
    <w:rsid w:val="00F63591"/>
    <w:rsid w:val="00F6783C"/>
    <w:rsid w:val="00F758E1"/>
    <w:rsid w:val="00F771F6"/>
    <w:rsid w:val="00F80DC2"/>
    <w:rsid w:val="00FA6198"/>
    <w:rsid w:val="00FB6452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BDD1B5-7CCF-4E9F-862C-47CC778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3474"/>
    <w:rPr>
      <w:i/>
      <w:iCs/>
    </w:rPr>
  </w:style>
  <w:style w:type="table" w:styleId="a4">
    <w:name w:val="Table Grid"/>
    <w:basedOn w:val="a1"/>
    <w:rsid w:val="005D07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2D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B2DF7"/>
  </w:style>
  <w:style w:type="paragraph" w:styleId="a7">
    <w:name w:val="footer"/>
    <w:basedOn w:val="a"/>
    <w:link w:val="a8"/>
    <w:rsid w:val="000B2D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B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NTIT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國立台灣工業技術學院管理研究所第二十五次所務會議會議記錄</dc:title>
  <dc:subject/>
  <dc:creator>pc</dc:creator>
  <cp:keywords/>
  <dc:description/>
  <cp:lastModifiedBy>USER</cp:lastModifiedBy>
  <cp:revision>7</cp:revision>
  <cp:lastPrinted>2011-04-26T08:00:00Z</cp:lastPrinted>
  <dcterms:created xsi:type="dcterms:W3CDTF">2013-03-14T08:25:00Z</dcterms:created>
  <dcterms:modified xsi:type="dcterms:W3CDTF">2019-04-23T04:25:00Z</dcterms:modified>
</cp:coreProperties>
</file>